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40" w:rsidRPr="00F6720C" w:rsidRDefault="00111440" w:rsidP="0011144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6720C">
        <w:rPr>
          <w:rFonts w:ascii="Tahoma" w:hAnsi="Tahoma" w:cs="Tahoma"/>
          <w:b/>
          <w:sz w:val="24"/>
          <w:szCs w:val="24"/>
        </w:rPr>
        <w:t>RESOLUCIÓN R-Nº 10</w:t>
      </w:r>
      <w:r w:rsidR="0053327C" w:rsidRPr="00F6720C">
        <w:rPr>
          <w:rFonts w:ascii="Tahoma" w:hAnsi="Tahoma" w:cs="Tahoma"/>
          <w:b/>
          <w:sz w:val="24"/>
          <w:szCs w:val="24"/>
        </w:rPr>
        <w:t>92</w:t>
      </w:r>
    </w:p>
    <w:p w:rsidR="00111440" w:rsidRPr="00F6720C" w:rsidRDefault="00111440" w:rsidP="00111440">
      <w:pPr>
        <w:tabs>
          <w:tab w:val="center" w:pos="4419"/>
          <w:tab w:val="left" w:pos="6278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6720C">
        <w:rPr>
          <w:rFonts w:ascii="Tahoma" w:hAnsi="Tahoma" w:cs="Tahoma"/>
          <w:b/>
          <w:sz w:val="24"/>
          <w:szCs w:val="24"/>
        </w:rPr>
        <w:t xml:space="preserve">( </w:t>
      </w:r>
      <w:r w:rsidR="0053327C" w:rsidRPr="00F6720C">
        <w:rPr>
          <w:rFonts w:ascii="Tahoma" w:hAnsi="Tahoma" w:cs="Tahoma"/>
          <w:sz w:val="24"/>
          <w:szCs w:val="24"/>
        </w:rPr>
        <w:t>30</w:t>
      </w:r>
      <w:r w:rsidRPr="00F6720C">
        <w:rPr>
          <w:rFonts w:ascii="Tahoma" w:hAnsi="Tahoma" w:cs="Tahoma"/>
          <w:sz w:val="24"/>
          <w:szCs w:val="24"/>
        </w:rPr>
        <w:t xml:space="preserve"> de diciembre de 2015</w:t>
      </w:r>
      <w:r w:rsidRPr="00F6720C">
        <w:rPr>
          <w:rFonts w:ascii="Tahoma" w:hAnsi="Tahoma" w:cs="Tahoma"/>
          <w:b/>
          <w:sz w:val="24"/>
          <w:szCs w:val="24"/>
        </w:rPr>
        <w:t xml:space="preserve"> )</w:t>
      </w:r>
    </w:p>
    <w:p w:rsidR="00111440" w:rsidRPr="00F6720C" w:rsidRDefault="00111440" w:rsidP="00111440">
      <w:pPr>
        <w:tabs>
          <w:tab w:val="center" w:pos="4419"/>
          <w:tab w:val="left" w:pos="6278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tabs>
          <w:tab w:val="center" w:pos="4419"/>
          <w:tab w:val="left" w:pos="6278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tabs>
          <w:tab w:val="center" w:pos="4419"/>
          <w:tab w:val="left" w:pos="6278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6720C">
        <w:rPr>
          <w:rFonts w:ascii="Tahoma" w:hAnsi="Tahoma" w:cs="Tahoma"/>
          <w:sz w:val="24"/>
          <w:szCs w:val="24"/>
        </w:rPr>
        <w:t xml:space="preserve">Por medio de la cual se adjudica el proceso contractual Nº </w:t>
      </w:r>
      <w:r w:rsidR="0053327C" w:rsidRPr="00F6720C">
        <w:rPr>
          <w:rFonts w:ascii="Tahoma" w:hAnsi="Tahoma" w:cs="Tahoma"/>
          <w:sz w:val="24"/>
          <w:szCs w:val="24"/>
        </w:rPr>
        <w:t>41</w:t>
      </w:r>
      <w:r w:rsidRPr="00F6720C">
        <w:rPr>
          <w:rFonts w:ascii="Tahoma" w:hAnsi="Tahoma" w:cs="Tahoma"/>
          <w:sz w:val="24"/>
          <w:szCs w:val="24"/>
        </w:rPr>
        <w:t>.</w:t>
      </w:r>
    </w:p>
    <w:p w:rsidR="00111440" w:rsidRPr="00F6720C" w:rsidRDefault="00111440" w:rsidP="001114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b/>
          <w:sz w:val="24"/>
          <w:szCs w:val="24"/>
        </w:rPr>
        <w:t>EL RECTOR</w:t>
      </w:r>
      <w:r w:rsidRPr="00F6720C">
        <w:rPr>
          <w:rFonts w:ascii="Tahoma" w:hAnsi="Tahoma" w:cs="Tahoma"/>
          <w:b/>
          <w:sz w:val="24"/>
          <w:szCs w:val="24"/>
          <w:lang w:val="es-ES" w:eastAsia="es-ES"/>
        </w:rPr>
        <w:t xml:space="preserve"> DELEGATARIO DE LA UNIVERSIDAD DEL CAUCA</w:t>
      </w: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, en uso de las atribuciones constitucionales, legales y estatutarias consagradas en los artículos 69 y 209 de la Constitución Política, ley 30 de 1992,  las propias del estatuto contractual Universitario Acuerdo 064 de 2008 </w:t>
      </w:r>
      <w:r w:rsidRPr="00F6720C">
        <w:rPr>
          <w:rFonts w:ascii="Tahoma" w:hAnsi="Tahoma" w:cs="Tahoma"/>
          <w:sz w:val="24"/>
          <w:szCs w:val="24"/>
        </w:rPr>
        <w:t>y la resolución N° 1044 de 2015.</w:t>
      </w:r>
    </w:p>
    <w:p w:rsidR="00111440" w:rsidRPr="00F6720C" w:rsidRDefault="00111440" w:rsidP="00111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s-MX" w:eastAsia="es-ES"/>
        </w:rPr>
      </w:pPr>
      <w:r w:rsidRPr="00F6720C">
        <w:rPr>
          <w:rFonts w:ascii="Tahoma" w:hAnsi="Tahoma" w:cs="Tahoma"/>
          <w:b/>
          <w:bCs/>
          <w:sz w:val="24"/>
          <w:szCs w:val="24"/>
          <w:lang w:val="es-MX" w:eastAsia="es-ES"/>
        </w:rPr>
        <w:t>CONSIDERANDO:</w:t>
      </w:r>
    </w:p>
    <w:p w:rsidR="00111440" w:rsidRPr="00F6720C" w:rsidRDefault="00111440" w:rsidP="00111440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s-MX" w:eastAsia="es-ES"/>
        </w:rPr>
      </w:pPr>
    </w:p>
    <w:p w:rsidR="00111440" w:rsidRPr="00F6720C" w:rsidRDefault="00111440" w:rsidP="00111440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s-MX" w:eastAsia="es-ES"/>
        </w:rPr>
      </w:pPr>
    </w:p>
    <w:p w:rsidR="00111440" w:rsidRPr="00F6720C" w:rsidRDefault="00111440" w:rsidP="0011144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sz w:val="24"/>
          <w:szCs w:val="24"/>
        </w:rPr>
        <w:t>La Universidad ordenó mediante resolución No. 10</w:t>
      </w:r>
      <w:r w:rsidR="0053327C" w:rsidRPr="00F6720C">
        <w:rPr>
          <w:rFonts w:ascii="Tahoma" w:hAnsi="Tahoma" w:cs="Tahoma"/>
          <w:sz w:val="24"/>
          <w:szCs w:val="24"/>
        </w:rPr>
        <w:t>74</w:t>
      </w:r>
      <w:r w:rsidRPr="00F6720C">
        <w:rPr>
          <w:rFonts w:ascii="Tahoma" w:hAnsi="Tahoma" w:cs="Tahoma"/>
          <w:sz w:val="24"/>
          <w:szCs w:val="24"/>
        </w:rPr>
        <w:t xml:space="preserve"> del </w:t>
      </w:r>
      <w:r w:rsidR="0053327C" w:rsidRPr="00F6720C">
        <w:rPr>
          <w:rFonts w:ascii="Tahoma" w:hAnsi="Tahoma" w:cs="Tahoma"/>
          <w:sz w:val="24"/>
          <w:szCs w:val="24"/>
        </w:rPr>
        <w:t>23</w:t>
      </w:r>
      <w:r w:rsidRPr="00F6720C">
        <w:rPr>
          <w:rFonts w:ascii="Tahoma" w:hAnsi="Tahoma" w:cs="Tahoma"/>
          <w:sz w:val="24"/>
          <w:szCs w:val="24"/>
        </w:rPr>
        <w:t xml:space="preserve"> de diciembre de 2015, la apertura de un procedimiento administrativo contractual para recibir propuestas y adjudicar el contrato de obra, cuyo objeto es </w:t>
      </w:r>
      <w:r w:rsidR="0053327C" w:rsidRPr="00F6720C">
        <w:rPr>
          <w:rFonts w:ascii="Tahoma" w:hAnsi="Tahoma" w:cs="Tahoma"/>
          <w:b/>
          <w:sz w:val="24"/>
          <w:szCs w:val="24"/>
        </w:rPr>
        <w:t>OBRA CIVIL DE RENOVACION RED DE CABLEADO ESTRUCTURADO Y LAS OBRAS DE ADECUACION PARA EL CUARTO DE COMUNICACIONES DEL EDIFICIO DE LA UNIDAD DE SALUD DE LA UNIVERSIDAD DEL CAUCA CO</w:t>
      </w:r>
      <w:r w:rsidR="0053327C" w:rsidRPr="00F6720C">
        <w:rPr>
          <w:rFonts w:ascii="Tahoma" w:hAnsi="Tahoma" w:cs="Tahoma"/>
          <w:b/>
          <w:sz w:val="24"/>
          <w:szCs w:val="24"/>
        </w:rPr>
        <w:t>NFORME A LOS DISEÑOS ELABORADOS</w:t>
      </w:r>
      <w:r w:rsidRPr="00F6720C">
        <w:rPr>
          <w:rFonts w:ascii="Tahoma" w:hAnsi="Tahoma" w:cs="Tahoma"/>
          <w:b/>
          <w:sz w:val="24"/>
          <w:szCs w:val="24"/>
        </w:rPr>
        <w:t xml:space="preserve">, </w:t>
      </w:r>
      <w:r w:rsidRPr="00F6720C">
        <w:rPr>
          <w:rFonts w:ascii="Tahoma" w:hAnsi="Tahoma" w:cs="Tahoma"/>
          <w:sz w:val="24"/>
          <w:szCs w:val="24"/>
        </w:rPr>
        <w:t xml:space="preserve">conforme las especificaciones establecidas en los términos de la convocatoria pública No. </w:t>
      </w:r>
      <w:r w:rsidR="0053327C" w:rsidRPr="00F6720C">
        <w:rPr>
          <w:rFonts w:ascii="Tahoma" w:hAnsi="Tahoma" w:cs="Tahoma"/>
          <w:sz w:val="24"/>
          <w:szCs w:val="24"/>
        </w:rPr>
        <w:t>41</w:t>
      </w:r>
      <w:r w:rsidRPr="00F6720C">
        <w:rPr>
          <w:rFonts w:ascii="Tahoma" w:hAnsi="Tahoma" w:cs="Tahoma"/>
          <w:sz w:val="24"/>
          <w:szCs w:val="24"/>
        </w:rPr>
        <w:t xml:space="preserve"> de 2015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sz w:val="24"/>
          <w:szCs w:val="24"/>
        </w:rPr>
        <w:t xml:space="preserve">La publicación de los términos definitivos de la convocatoria pública, se realizó el día </w:t>
      </w:r>
      <w:r w:rsidR="00C4552D" w:rsidRPr="00F6720C">
        <w:rPr>
          <w:rFonts w:ascii="Tahoma" w:hAnsi="Tahoma" w:cs="Tahoma"/>
          <w:sz w:val="24"/>
          <w:szCs w:val="24"/>
        </w:rPr>
        <w:t>23</w:t>
      </w:r>
      <w:r w:rsidRPr="00F6720C">
        <w:rPr>
          <w:rFonts w:ascii="Tahoma" w:hAnsi="Tahoma" w:cs="Tahoma"/>
          <w:sz w:val="24"/>
          <w:szCs w:val="24"/>
        </w:rPr>
        <w:t xml:space="preserve"> de diciembre de 2015 en la página Web de la Universidad, con fecha límite para recibir observaciones a los términos, de acuerdo al calendario hasta el día </w:t>
      </w:r>
      <w:r w:rsidR="00C4552D" w:rsidRPr="00F6720C">
        <w:rPr>
          <w:rFonts w:ascii="Tahoma" w:hAnsi="Tahoma" w:cs="Tahoma"/>
          <w:sz w:val="24"/>
          <w:szCs w:val="24"/>
        </w:rPr>
        <w:t>26</w:t>
      </w:r>
      <w:r w:rsidRPr="00F6720C">
        <w:rPr>
          <w:rFonts w:ascii="Tahoma" w:hAnsi="Tahoma" w:cs="Tahoma"/>
          <w:sz w:val="24"/>
          <w:szCs w:val="24"/>
        </w:rPr>
        <w:t xml:space="preserve"> de diciembre de 2015, al correo electrónico contratacion3@unicauca.edu.co y por escrito, a la Calle 5 No. 4-70 Vicerrectoría Administrativa de la Ciudad de Popayán.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Dentro del proceso de la convocatoria, la Universidad recepcionó </w:t>
      </w:r>
      <w:r w:rsidR="002A618E" w:rsidRPr="00F6720C">
        <w:rPr>
          <w:rFonts w:ascii="Tahoma" w:hAnsi="Tahoma" w:cs="Tahoma"/>
          <w:sz w:val="24"/>
          <w:szCs w:val="24"/>
          <w:lang w:val="es-ES" w:eastAsia="es-ES"/>
        </w:rPr>
        <w:t>dos (2</w:t>
      </w:r>
      <w:r w:rsidRPr="00F6720C">
        <w:rPr>
          <w:rFonts w:ascii="Tahoma" w:hAnsi="Tahoma" w:cs="Tahoma"/>
          <w:sz w:val="24"/>
          <w:szCs w:val="24"/>
          <w:lang w:val="es-ES" w:eastAsia="es-ES"/>
        </w:rPr>
        <w:t>) propuestas, las cuales fueron calificadas jurídica, financiera y técnicamente.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Revisados los documentos de tipo técnico, jurídico y financieros por parte de la Junta de Licitaciones y Contratos, se obtiene que la propuesta presentada por </w:t>
      </w:r>
      <w:r w:rsidR="002A618E" w:rsidRPr="00F6720C">
        <w:rPr>
          <w:rFonts w:ascii="Tahoma" w:hAnsi="Tahoma" w:cs="Tahoma"/>
          <w:sz w:val="24"/>
          <w:szCs w:val="24"/>
          <w:lang w:val="es-ES" w:eastAsia="es-ES"/>
        </w:rPr>
        <w:t>JORGE ALEJANDRO ASTUDILLO, no cumple</w:t>
      </w: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 con todas las exigencias establecidas en el Pliego de Condiciones, por lo tanto </w:t>
      </w:r>
      <w:r w:rsidR="002A618E" w:rsidRPr="00F6720C">
        <w:rPr>
          <w:rFonts w:ascii="Tahoma" w:hAnsi="Tahoma" w:cs="Tahoma"/>
          <w:sz w:val="24"/>
          <w:szCs w:val="24"/>
          <w:lang w:val="es-ES" w:eastAsia="es-ES"/>
        </w:rPr>
        <w:t>es declarada</w:t>
      </w: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 como NO HÁBILES.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Luego de verificar el cumplimiento de los requisitos técnicos, jurídicos y financieros contenidos en el Pliego de Condiciones, de la oferta presentada por el CONSORCIO </w:t>
      </w:r>
      <w:r w:rsidR="000D4189" w:rsidRPr="00F6720C">
        <w:rPr>
          <w:rFonts w:ascii="Tahoma" w:hAnsi="Tahoma" w:cs="Tahoma"/>
          <w:sz w:val="24"/>
          <w:szCs w:val="24"/>
          <w:lang w:val="es-ES" w:eastAsia="es-ES"/>
        </w:rPr>
        <w:t>AU</w:t>
      </w:r>
      <w:r w:rsidR="00EF6961" w:rsidRPr="00F6720C">
        <w:rPr>
          <w:rFonts w:ascii="Tahoma" w:hAnsi="Tahoma" w:cs="Tahoma"/>
          <w:sz w:val="24"/>
          <w:szCs w:val="24"/>
          <w:lang w:val="es-ES" w:eastAsia="es-ES"/>
        </w:rPr>
        <w:t>, se concluye que cumple</w:t>
      </w: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 a cabalidad</w:t>
      </w:r>
      <w:r w:rsidR="00EF6961" w:rsidRPr="00F6720C">
        <w:rPr>
          <w:rFonts w:ascii="Tahoma" w:hAnsi="Tahoma" w:cs="Tahoma"/>
          <w:sz w:val="24"/>
          <w:szCs w:val="24"/>
          <w:lang w:val="es-ES" w:eastAsia="es-ES"/>
        </w:rPr>
        <w:t xml:space="preserve">, por lo </w:t>
      </w:r>
      <w:r w:rsidR="003C4C8D">
        <w:rPr>
          <w:rFonts w:ascii="Tahoma" w:hAnsi="Tahoma" w:cs="Tahoma"/>
          <w:sz w:val="24"/>
          <w:szCs w:val="24"/>
          <w:lang w:val="es-ES" w:eastAsia="es-ES"/>
        </w:rPr>
        <w:t>tanto es</w:t>
      </w:r>
      <w:r w:rsidR="00EF6961" w:rsidRPr="00F6720C">
        <w:rPr>
          <w:rFonts w:ascii="Tahoma" w:hAnsi="Tahoma" w:cs="Tahoma"/>
          <w:sz w:val="24"/>
          <w:szCs w:val="24"/>
          <w:lang w:val="es-ES" w:eastAsia="es-ES"/>
        </w:rPr>
        <w:t xml:space="preserve"> declara</w:t>
      </w:r>
      <w:r w:rsidR="00CE7B1B">
        <w:rPr>
          <w:rFonts w:ascii="Tahoma" w:hAnsi="Tahoma" w:cs="Tahoma"/>
          <w:sz w:val="24"/>
          <w:szCs w:val="24"/>
          <w:lang w:val="es-ES" w:eastAsia="es-ES"/>
        </w:rPr>
        <w:t>da</w:t>
      </w:r>
      <w:bookmarkStart w:id="0" w:name="_GoBack"/>
      <w:bookmarkEnd w:id="0"/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 como </w:t>
      </w:r>
      <w:r w:rsidR="00EF6961" w:rsidRPr="00F6720C">
        <w:rPr>
          <w:rFonts w:ascii="Tahoma" w:hAnsi="Tahoma" w:cs="Tahoma"/>
          <w:sz w:val="24"/>
          <w:szCs w:val="24"/>
          <w:lang w:val="es-ES" w:eastAsia="es-ES"/>
        </w:rPr>
        <w:t>HÁBIL</w:t>
      </w:r>
      <w:r w:rsidRPr="00F6720C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111440" w:rsidRPr="00F6720C" w:rsidRDefault="00111440" w:rsidP="002638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sz w:val="24"/>
          <w:szCs w:val="24"/>
          <w:lang w:val="es-ES" w:eastAsia="es-ES"/>
        </w:rPr>
        <w:t xml:space="preserve">Con el resultado obtenido, la Junta de Licitaciones y Contratos decide recomendar al señor Rector la adjudicación de la presente convocatoria al </w:t>
      </w:r>
      <w:r w:rsidR="002638D9" w:rsidRPr="00F6720C">
        <w:rPr>
          <w:rFonts w:ascii="Tahoma" w:hAnsi="Tahoma" w:cs="Tahoma"/>
          <w:sz w:val="24"/>
          <w:szCs w:val="24"/>
          <w:lang w:val="es-ES" w:eastAsia="es-ES"/>
        </w:rPr>
        <w:t>CONSORCIO AU.</w:t>
      </w:r>
    </w:p>
    <w:p w:rsidR="00111440" w:rsidRPr="00F6720C" w:rsidRDefault="00111440" w:rsidP="00111440">
      <w:pPr>
        <w:spacing w:after="0" w:line="240" w:lineRule="auto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spacing w:after="0" w:line="240" w:lineRule="auto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sz w:val="24"/>
          <w:szCs w:val="24"/>
          <w:lang w:val="es-ES" w:eastAsia="es-ES"/>
        </w:rPr>
        <w:lastRenderedPageBreak/>
        <w:t xml:space="preserve">En consecuencia, </w:t>
      </w:r>
    </w:p>
    <w:p w:rsidR="00111440" w:rsidRPr="00F6720C" w:rsidRDefault="00111440" w:rsidP="00111440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b/>
          <w:sz w:val="24"/>
          <w:szCs w:val="24"/>
          <w:lang w:val="es-ES" w:eastAsia="es-ES"/>
        </w:rPr>
        <w:t>RESUELVE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 w:eastAsia="es-ES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6720C">
        <w:rPr>
          <w:rFonts w:ascii="Tahoma" w:hAnsi="Tahoma" w:cs="Tahoma"/>
          <w:b/>
          <w:sz w:val="24"/>
          <w:szCs w:val="24"/>
        </w:rPr>
        <w:t>ARTÍCULO PRIMERO:</w:t>
      </w:r>
      <w:r w:rsidRPr="00F6720C">
        <w:rPr>
          <w:rFonts w:ascii="Tahoma" w:hAnsi="Tahoma" w:cs="Tahoma"/>
          <w:sz w:val="24"/>
          <w:szCs w:val="24"/>
        </w:rPr>
        <w:t xml:space="preserve"> Adjudicar el proceso contractual aperturado por medio de la resolución N° 10</w:t>
      </w:r>
      <w:r w:rsidR="00F6720C">
        <w:rPr>
          <w:rFonts w:ascii="Tahoma" w:hAnsi="Tahoma" w:cs="Tahoma"/>
          <w:sz w:val="24"/>
          <w:szCs w:val="24"/>
        </w:rPr>
        <w:t>74</w:t>
      </w:r>
      <w:r w:rsidRPr="00F6720C">
        <w:rPr>
          <w:rFonts w:ascii="Tahoma" w:hAnsi="Tahoma" w:cs="Tahoma"/>
          <w:sz w:val="24"/>
          <w:szCs w:val="24"/>
        </w:rPr>
        <w:t xml:space="preserve"> de 2015, al  </w:t>
      </w:r>
      <w:r w:rsidR="00F6720C">
        <w:rPr>
          <w:rFonts w:ascii="Tahoma" w:hAnsi="Tahoma" w:cs="Tahoma"/>
          <w:sz w:val="24"/>
          <w:szCs w:val="24"/>
        </w:rPr>
        <w:t>CONSORCIO AU</w:t>
      </w:r>
      <w:r w:rsidRPr="00F6720C">
        <w:rPr>
          <w:rFonts w:ascii="Tahoma" w:hAnsi="Tahoma" w:cs="Tahoma"/>
          <w:sz w:val="24"/>
          <w:szCs w:val="24"/>
        </w:rPr>
        <w:t xml:space="preserve">, cuyo objeto es </w:t>
      </w:r>
      <w:r w:rsidR="000F503A" w:rsidRPr="00F6720C">
        <w:rPr>
          <w:rFonts w:ascii="Tahoma" w:hAnsi="Tahoma" w:cs="Tahoma"/>
          <w:b/>
          <w:sz w:val="24"/>
          <w:szCs w:val="24"/>
        </w:rPr>
        <w:t>OBRA CIVIL DE RENOVACION RED DE CABLEADO ESTRUCTURADO Y LAS OBRAS DE ADECUACION PARA EL CUARTO DE COMUNICACIONES DEL EDIFICIO DE LA UNIDAD DE SALUD DE LA UNIVERSIDAD DEL CAUCA CONFORME A LOS DISEÑOS ELABORADOS</w:t>
      </w:r>
      <w:r w:rsidRPr="00F6720C">
        <w:rPr>
          <w:rFonts w:ascii="Tahoma" w:hAnsi="Tahoma" w:cs="Tahoma"/>
          <w:b/>
          <w:sz w:val="24"/>
          <w:szCs w:val="24"/>
        </w:rPr>
        <w:t xml:space="preserve">, </w:t>
      </w:r>
      <w:r w:rsidRPr="00F6720C">
        <w:rPr>
          <w:rFonts w:ascii="Tahoma" w:hAnsi="Tahoma" w:cs="Tahoma"/>
          <w:sz w:val="24"/>
          <w:szCs w:val="24"/>
        </w:rPr>
        <w:t xml:space="preserve">conforme las especificaciones establecidas en los términos de la convocatoria pública No. </w:t>
      </w:r>
      <w:r w:rsidR="00304FF4">
        <w:rPr>
          <w:rFonts w:ascii="Tahoma" w:hAnsi="Tahoma" w:cs="Tahoma"/>
          <w:sz w:val="24"/>
          <w:szCs w:val="24"/>
        </w:rPr>
        <w:t>41</w:t>
      </w:r>
      <w:r w:rsidRPr="00F6720C">
        <w:rPr>
          <w:rFonts w:ascii="Tahoma" w:hAnsi="Tahoma" w:cs="Tahoma"/>
          <w:sz w:val="24"/>
          <w:szCs w:val="24"/>
        </w:rPr>
        <w:t xml:space="preserve"> de 2015.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6720C">
        <w:rPr>
          <w:rFonts w:ascii="Tahoma" w:hAnsi="Tahoma" w:cs="Tahoma"/>
          <w:b/>
          <w:sz w:val="24"/>
          <w:szCs w:val="24"/>
        </w:rPr>
        <w:t>ARTÍCULO SEGUNDO:</w:t>
      </w:r>
      <w:r w:rsidRPr="00F6720C">
        <w:rPr>
          <w:rFonts w:ascii="Tahoma" w:hAnsi="Tahoma" w:cs="Tahoma"/>
          <w:sz w:val="24"/>
          <w:szCs w:val="24"/>
        </w:rPr>
        <w:t xml:space="preserve"> Notificar </w:t>
      </w:r>
      <w:r w:rsidR="003C2140">
        <w:rPr>
          <w:rFonts w:ascii="Tahoma" w:hAnsi="Tahoma" w:cs="Tahoma"/>
          <w:sz w:val="24"/>
          <w:szCs w:val="24"/>
        </w:rPr>
        <w:t>a</w:t>
      </w:r>
      <w:r w:rsidRPr="00F6720C">
        <w:rPr>
          <w:rFonts w:ascii="Tahoma" w:hAnsi="Tahoma" w:cs="Tahoma"/>
          <w:sz w:val="24"/>
          <w:szCs w:val="24"/>
        </w:rPr>
        <w:t xml:space="preserve"> </w:t>
      </w:r>
      <w:r w:rsidR="003C2140">
        <w:rPr>
          <w:rFonts w:ascii="Tahoma" w:hAnsi="Tahoma" w:cs="Tahoma"/>
          <w:sz w:val="24"/>
          <w:szCs w:val="24"/>
        </w:rPr>
        <w:t>EDGAR FELIPE ACOSTA,</w:t>
      </w:r>
      <w:r w:rsidRPr="00F6720C">
        <w:rPr>
          <w:rFonts w:ascii="Tahoma" w:hAnsi="Tahoma" w:cs="Tahoma"/>
          <w:sz w:val="24"/>
          <w:szCs w:val="24"/>
        </w:rPr>
        <w:t xml:space="preserve"> identificado con la cédula de ciudadanía N° </w:t>
      </w:r>
      <w:r w:rsidR="00555C8E">
        <w:rPr>
          <w:rFonts w:ascii="Tahoma" w:hAnsi="Tahoma" w:cs="Tahoma"/>
          <w:sz w:val="24"/>
          <w:szCs w:val="24"/>
        </w:rPr>
        <w:t>10.535.708</w:t>
      </w:r>
      <w:r w:rsidRPr="00F6720C">
        <w:rPr>
          <w:rFonts w:ascii="Tahoma" w:hAnsi="Tahoma" w:cs="Tahoma"/>
          <w:sz w:val="24"/>
          <w:szCs w:val="24"/>
        </w:rPr>
        <w:t xml:space="preserve"> de Popayán,</w:t>
      </w:r>
      <w:r w:rsidR="00555C8E">
        <w:rPr>
          <w:rFonts w:ascii="Tahoma" w:hAnsi="Tahoma" w:cs="Tahoma"/>
          <w:sz w:val="24"/>
          <w:szCs w:val="24"/>
        </w:rPr>
        <w:t xml:space="preserve"> Representante Legal del CONSORCIO AU, </w:t>
      </w:r>
      <w:r w:rsidRPr="00F6720C">
        <w:rPr>
          <w:rFonts w:ascii="Tahoma" w:hAnsi="Tahoma" w:cs="Tahoma"/>
          <w:sz w:val="24"/>
          <w:szCs w:val="24"/>
        </w:rPr>
        <w:t xml:space="preserve">quien podrá ser notificado en </w:t>
      </w:r>
      <w:r w:rsidR="00AE6FE7">
        <w:rPr>
          <w:rFonts w:ascii="Tahoma" w:hAnsi="Tahoma" w:cs="Tahoma"/>
          <w:sz w:val="24"/>
          <w:szCs w:val="24"/>
        </w:rPr>
        <w:t>la carrera 15 A Nº 9N - 104</w:t>
      </w:r>
      <w:r w:rsidRPr="00F6720C">
        <w:rPr>
          <w:rFonts w:ascii="Tahoma" w:hAnsi="Tahoma" w:cs="Tahoma"/>
          <w:sz w:val="24"/>
          <w:szCs w:val="24"/>
        </w:rPr>
        <w:t>, Teléfono 8</w:t>
      </w:r>
      <w:r w:rsidR="00AE6FE7">
        <w:rPr>
          <w:rFonts w:ascii="Tahoma" w:hAnsi="Tahoma" w:cs="Tahoma"/>
          <w:sz w:val="24"/>
          <w:szCs w:val="24"/>
        </w:rPr>
        <w:t>202160</w:t>
      </w:r>
      <w:r w:rsidRPr="00F6720C">
        <w:rPr>
          <w:rFonts w:ascii="Tahoma" w:hAnsi="Tahoma" w:cs="Tahoma"/>
          <w:sz w:val="24"/>
          <w:szCs w:val="24"/>
        </w:rPr>
        <w:t>, de la ciudad de Popayán, haciéndole saber que contra el presente acto administrativo no procede recurso alguno.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6720C">
        <w:rPr>
          <w:rFonts w:ascii="Tahoma" w:hAnsi="Tahoma" w:cs="Tahoma"/>
          <w:b/>
          <w:sz w:val="24"/>
          <w:szCs w:val="24"/>
        </w:rPr>
        <w:t>NOTIFÍQUESE, PUBLÍQUESE, Y CUMPLASE.</w:t>
      </w: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11440" w:rsidRPr="00F6720C" w:rsidRDefault="00111440" w:rsidP="001114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 w:eastAsia="es-ES"/>
        </w:rPr>
      </w:pPr>
      <w:r w:rsidRPr="00F6720C">
        <w:rPr>
          <w:rFonts w:ascii="Tahoma" w:hAnsi="Tahoma" w:cs="Tahoma"/>
          <w:b/>
          <w:sz w:val="24"/>
          <w:szCs w:val="24"/>
        </w:rPr>
        <w:t xml:space="preserve">EDGAR DE JESUS VELASQUEZ RIVERA </w:t>
      </w:r>
    </w:p>
    <w:p w:rsidR="00111440" w:rsidRPr="00F6720C" w:rsidRDefault="00111440" w:rsidP="0011144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6720C">
        <w:rPr>
          <w:rFonts w:ascii="Tahoma" w:hAnsi="Tahoma" w:cs="Tahoma"/>
          <w:sz w:val="24"/>
          <w:szCs w:val="24"/>
        </w:rPr>
        <w:t>Rector Delegatario</w:t>
      </w:r>
    </w:p>
    <w:p w:rsidR="00111440" w:rsidRPr="00F6720C" w:rsidRDefault="00111440" w:rsidP="0011144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11440" w:rsidRPr="00F6720C" w:rsidRDefault="00111440" w:rsidP="00111440">
      <w:pPr>
        <w:spacing w:after="0" w:line="240" w:lineRule="auto"/>
        <w:jc w:val="center"/>
        <w:rPr>
          <w:rFonts w:ascii="Tahoma" w:hAnsi="Tahoma" w:cs="Tahoma"/>
          <w:sz w:val="12"/>
          <w:szCs w:val="12"/>
          <w:lang w:val="es-ES" w:eastAsia="es-ES"/>
        </w:rPr>
      </w:pPr>
      <w:r w:rsidRPr="00F6720C">
        <w:rPr>
          <w:rFonts w:ascii="Tahoma" w:hAnsi="Tahoma" w:cs="Tahoma"/>
          <w:sz w:val="12"/>
          <w:szCs w:val="12"/>
        </w:rPr>
        <w:t>LCBP/YNR</w:t>
      </w:r>
    </w:p>
    <w:p w:rsidR="00111440" w:rsidRPr="00F6720C" w:rsidRDefault="00111440" w:rsidP="00111440">
      <w:pPr>
        <w:rPr>
          <w:rFonts w:ascii="Tahoma" w:hAnsi="Tahoma" w:cs="Tahoma"/>
          <w:sz w:val="24"/>
          <w:szCs w:val="24"/>
        </w:rPr>
      </w:pPr>
    </w:p>
    <w:p w:rsidR="00283EC2" w:rsidRPr="00F6720C" w:rsidRDefault="00283EC2">
      <w:pPr>
        <w:rPr>
          <w:rFonts w:ascii="Tahoma" w:hAnsi="Tahoma" w:cs="Tahoma"/>
        </w:rPr>
      </w:pPr>
    </w:p>
    <w:sectPr w:rsidR="00283EC2" w:rsidRPr="00F6720C" w:rsidSect="002117A7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85" w:rsidRDefault="00CE7B1B">
    <w:pPr>
      <w:pStyle w:val="Encabezado"/>
      <w:rPr>
        <w:lang w:val="es-ES"/>
      </w:rPr>
    </w:pPr>
  </w:p>
  <w:p w:rsidR="006F7B85" w:rsidRDefault="00CE7B1B">
    <w:pPr>
      <w:pStyle w:val="Encabezado"/>
      <w:rPr>
        <w:lang w:val="es-ES"/>
      </w:rPr>
    </w:pPr>
  </w:p>
  <w:p w:rsidR="006F7B85" w:rsidRDefault="00CE7B1B">
    <w:pPr>
      <w:pStyle w:val="Encabezado"/>
      <w:rPr>
        <w:lang w:val="es-ES"/>
      </w:rPr>
    </w:pPr>
  </w:p>
  <w:p w:rsidR="006F7B85" w:rsidRDefault="00CE7B1B">
    <w:pPr>
      <w:pStyle w:val="Encabezado"/>
      <w:rPr>
        <w:lang w:val="es-ES"/>
      </w:rPr>
    </w:pPr>
  </w:p>
  <w:p w:rsidR="006F7B85" w:rsidRDefault="00CE7B1B">
    <w:pPr>
      <w:pStyle w:val="Encabezado"/>
      <w:rPr>
        <w:lang w:val="es-ES"/>
      </w:rPr>
    </w:pPr>
  </w:p>
  <w:p w:rsidR="006F7B85" w:rsidRDefault="00CE7B1B">
    <w:pPr>
      <w:pStyle w:val="Encabezado"/>
      <w:rPr>
        <w:lang w:val="es-ES"/>
      </w:rPr>
    </w:pPr>
  </w:p>
  <w:p w:rsidR="006F7B85" w:rsidRDefault="00CE7B1B">
    <w:pPr>
      <w:pStyle w:val="Encabezado"/>
      <w:rPr>
        <w:lang w:val="es-ES"/>
      </w:rPr>
    </w:pPr>
  </w:p>
  <w:p w:rsidR="006F7B85" w:rsidRPr="006F7B85" w:rsidRDefault="00CE7B1B" w:rsidP="006F7B85">
    <w:pPr>
      <w:pStyle w:val="Encabezado"/>
      <w:jc w:val="center"/>
      <w:rPr>
        <w:rFonts w:ascii="Tahoma" w:hAnsi="Tahoma" w:cs="Tahoma"/>
        <w:lang w:val="es-ES"/>
      </w:rPr>
    </w:pPr>
    <w:r>
      <w:rPr>
        <w:lang w:val="es-ES"/>
      </w:rPr>
      <w:t xml:space="preserve">                                                                                                                                                </w:t>
    </w:r>
    <w:r w:rsidRPr="006F7B85">
      <w:rPr>
        <w:rFonts w:ascii="Tahoma" w:hAnsi="Tahoma" w:cs="Tahoma"/>
        <w:lang w:val="es-ES"/>
      </w:rPr>
      <w:t>2.3.90</w:t>
    </w:r>
  </w:p>
  <w:p w:rsidR="006F7B85" w:rsidRPr="006F7B85" w:rsidRDefault="00CE7B1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7AB"/>
    <w:multiLevelType w:val="hybridMultilevel"/>
    <w:tmpl w:val="8F98575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06458"/>
    <w:multiLevelType w:val="hybridMultilevel"/>
    <w:tmpl w:val="254ACA2C"/>
    <w:lvl w:ilvl="0" w:tplc="8926D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B9E623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34D1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86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A409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3EAA8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527E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EEDC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527A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40"/>
    <w:rsid w:val="000D4189"/>
    <w:rsid w:val="000F503A"/>
    <w:rsid w:val="00111440"/>
    <w:rsid w:val="002638D9"/>
    <w:rsid w:val="00283EC2"/>
    <w:rsid w:val="002A618E"/>
    <w:rsid w:val="00304FF4"/>
    <w:rsid w:val="003C2140"/>
    <w:rsid w:val="003C4C8D"/>
    <w:rsid w:val="0053327C"/>
    <w:rsid w:val="00555C8E"/>
    <w:rsid w:val="00AE6FE7"/>
    <w:rsid w:val="00C4552D"/>
    <w:rsid w:val="00CE7B1B"/>
    <w:rsid w:val="00EF6961"/>
    <w:rsid w:val="00F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40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4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1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44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40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4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1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44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UNICAUCA</cp:lastModifiedBy>
  <cp:revision>15</cp:revision>
  <dcterms:created xsi:type="dcterms:W3CDTF">2015-12-30T19:03:00Z</dcterms:created>
  <dcterms:modified xsi:type="dcterms:W3CDTF">2015-12-30T19:23:00Z</dcterms:modified>
</cp:coreProperties>
</file>